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80FA" w14:textId="150518A4" w:rsidR="00E1113D" w:rsidRDefault="00C35264" w:rsidP="005E0ED2">
      <w:pPr>
        <w:spacing w:before="240" w:after="24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8B59C8" wp14:editId="53D769A1">
            <wp:extent cx="1610436" cy="640131"/>
            <wp:effectExtent l="0" t="0" r="889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448" cy="6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6FB3" w14:textId="3F974C42" w:rsidR="00F401F9" w:rsidRDefault="00F401F9" w:rsidP="00F401F9">
      <w:pPr>
        <w:spacing w:before="120" w:after="0" w:line="340" w:lineRule="exact"/>
        <w:jc w:val="center"/>
        <w:rPr>
          <w:rFonts w:ascii="Arial" w:hAnsi="Arial" w:cs="Arial"/>
          <w:b/>
          <w:sz w:val="24"/>
          <w:szCs w:val="24"/>
        </w:rPr>
      </w:pPr>
      <w:r w:rsidRPr="00F401F9">
        <w:rPr>
          <w:rFonts w:ascii="Arial" w:hAnsi="Arial" w:cs="Arial"/>
          <w:b/>
          <w:sz w:val="24"/>
          <w:szCs w:val="24"/>
        </w:rPr>
        <w:t xml:space="preserve">ANEXO </w:t>
      </w:r>
      <w:r w:rsidR="00F45644">
        <w:rPr>
          <w:rFonts w:ascii="Arial" w:hAnsi="Arial" w:cs="Arial"/>
          <w:b/>
          <w:sz w:val="24"/>
          <w:szCs w:val="24"/>
        </w:rPr>
        <w:t>I</w:t>
      </w:r>
      <w:r w:rsidR="00A67014">
        <w:rPr>
          <w:rFonts w:ascii="Arial" w:hAnsi="Arial" w:cs="Arial"/>
          <w:b/>
          <w:sz w:val="24"/>
          <w:szCs w:val="24"/>
        </w:rPr>
        <w:t>X</w:t>
      </w:r>
    </w:p>
    <w:p w14:paraId="674C2019" w14:textId="7F8EFDED" w:rsidR="00C56B60" w:rsidRPr="0024029B" w:rsidRDefault="00C56B60" w:rsidP="00F401F9">
      <w:pPr>
        <w:spacing w:before="360" w:after="0" w:line="340" w:lineRule="exact"/>
        <w:jc w:val="center"/>
        <w:rPr>
          <w:rFonts w:ascii="Arial" w:hAnsi="Arial" w:cs="Arial"/>
          <w:b/>
          <w:sz w:val="24"/>
          <w:szCs w:val="24"/>
        </w:rPr>
      </w:pPr>
      <w:r w:rsidRPr="0024029B">
        <w:rPr>
          <w:rFonts w:ascii="Arial" w:hAnsi="Arial" w:cs="Arial"/>
          <w:b/>
          <w:sz w:val="24"/>
          <w:szCs w:val="24"/>
        </w:rPr>
        <w:t>"P</w:t>
      </w:r>
      <w:r w:rsidR="003C09D7">
        <w:rPr>
          <w:rFonts w:ascii="Arial" w:hAnsi="Arial" w:cs="Arial"/>
          <w:b/>
          <w:sz w:val="24"/>
          <w:szCs w:val="24"/>
        </w:rPr>
        <w:t xml:space="preserve">AP - </w:t>
      </w:r>
      <w:r>
        <w:rPr>
          <w:rFonts w:ascii="Arial" w:hAnsi="Arial" w:cs="Arial"/>
          <w:b/>
          <w:sz w:val="24"/>
          <w:szCs w:val="24"/>
        </w:rPr>
        <w:t>P</w:t>
      </w:r>
      <w:r w:rsidRPr="0024029B">
        <w:rPr>
          <w:rFonts w:ascii="Arial" w:hAnsi="Arial" w:cs="Arial"/>
          <w:b/>
          <w:sz w:val="24"/>
          <w:szCs w:val="24"/>
        </w:rPr>
        <w:t>RO</w:t>
      </w:r>
      <w:r>
        <w:rPr>
          <w:rFonts w:ascii="Arial" w:hAnsi="Arial" w:cs="Arial"/>
          <w:b/>
          <w:sz w:val="24"/>
          <w:szCs w:val="24"/>
        </w:rPr>
        <w:t>CEDIMENTO ADMINISTRATIVO PUNITIV</w:t>
      </w:r>
      <w:r w:rsidRPr="0024029B">
        <w:rPr>
          <w:rFonts w:ascii="Arial" w:hAnsi="Arial" w:cs="Arial"/>
          <w:b/>
          <w:sz w:val="24"/>
          <w:szCs w:val="24"/>
        </w:rPr>
        <w:t>O”</w:t>
      </w:r>
    </w:p>
    <w:p w14:paraId="38B8FE9A" w14:textId="77777777" w:rsidR="00C56B60" w:rsidRDefault="00C56B60" w:rsidP="00F401F9">
      <w:pPr>
        <w:pStyle w:val="RegCOPASA"/>
        <w:spacing w:line="340" w:lineRule="exact"/>
        <w:rPr>
          <w:rFonts w:cs="Arial"/>
          <w:b/>
          <w:bCs/>
          <w:sz w:val="24"/>
          <w:szCs w:val="24"/>
        </w:rPr>
      </w:pPr>
    </w:p>
    <w:p w14:paraId="396B834A" w14:textId="04E1B97D" w:rsidR="008C3E58" w:rsidRDefault="008C3E58" w:rsidP="00F401F9">
      <w:pPr>
        <w:pStyle w:val="RegCOPASA"/>
        <w:numPr>
          <w:ilvl w:val="0"/>
          <w:numId w:val="1"/>
        </w:numPr>
        <w:spacing w:line="340" w:lineRule="exact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INFORMAÇÕES GERAIS</w:t>
      </w:r>
    </w:p>
    <w:p w14:paraId="6B6B887C" w14:textId="48CDF480" w:rsidR="008C3E58" w:rsidRPr="000932AD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0932AD">
        <w:rPr>
          <w:rFonts w:cs="Arial"/>
          <w:sz w:val="24"/>
          <w:szCs w:val="24"/>
        </w:rPr>
        <w:t>O Processo Administrativo Punitivo - PAP é o instrumento hábil a apurar a infração cometida pelo licitante e determinar a eventual aplicação de penalidade, visando ao atendimento do interesse público.</w:t>
      </w:r>
    </w:p>
    <w:p w14:paraId="27EA49D7" w14:textId="5BBC519E" w:rsidR="008C3E58" w:rsidRPr="008C3E58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8C3E58">
        <w:rPr>
          <w:rFonts w:cs="Arial"/>
          <w:sz w:val="24"/>
          <w:szCs w:val="24"/>
        </w:rPr>
        <w:t>O PAP poderá ser instaurado durante toda a fase de contratação, seja no curso do processo licitatório, da preparação da contratação direta ou da execução contratual.</w:t>
      </w:r>
    </w:p>
    <w:p w14:paraId="621F7BBE" w14:textId="5675BFA4" w:rsidR="008C3E58" w:rsidRPr="006815DE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8C3E58">
        <w:rPr>
          <w:rFonts w:cs="Arial"/>
          <w:sz w:val="24"/>
          <w:szCs w:val="24"/>
        </w:rPr>
        <w:t>O direito da COPASA MG de ajuizar o PAP prescreve em 5 (cinco) anos, contados da data do con</w:t>
      </w:r>
      <w:r w:rsidRPr="006815DE">
        <w:rPr>
          <w:rFonts w:cs="Arial"/>
          <w:sz w:val="24"/>
          <w:szCs w:val="24"/>
        </w:rPr>
        <w:t>hecimento da infração cometida pelo licitante ou contratado.</w:t>
      </w:r>
    </w:p>
    <w:p w14:paraId="577DC135" w14:textId="71E983DB" w:rsidR="008C3E58" w:rsidRDefault="006815DE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6815DE">
        <w:rPr>
          <w:rFonts w:cs="Arial"/>
          <w:sz w:val="24"/>
          <w:szCs w:val="24"/>
        </w:rPr>
        <w:t>A</w:t>
      </w:r>
      <w:r w:rsidR="008C3E58" w:rsidRPr="006815DE">
        <w:rPr>
          <w:rFonts w:cs="Arial"/>
          <w:sz w:val="24"/>
          <w:szCs w:val="24"/>
        </w:rPr>
        <w:t xml:space="preserve"> instauração do PAP</w:t>
      </w:r>
      <w:r w:rsidR="00584527" w:rsidRPr="006815DE">
        <w:rPr>
          <w:rFonts w:cs="Arial"/>
          <w:sz w:val="24"/>
          <w:szCs w:val="24"/>
        </w:rPr>
        <w:t xml:space="preserve"> será </w:t>
      </w:r>
      <w:r w:rsidR="008C3E58" w:rsidRPr="006815DE">
        <w:rPr>
          <w:rFonts w:cs="Arial"/>
          <w:sz w:val="24"/>
          <w:szCs w:val="24"/>
        </w:rPr>
        <w:t>nos termos da Parte 06 - Das Sanções Administrativas e do Processo Administrativo Punitivo, do Regulamento de Contratações da COPASA MG</w:t>
      </w:r>
      <w:r w:rsidRPr="006815DE">
        <w:rPr>
          <w:rFonts w:cs="Arial"/>
          <w:sz w:val="24"/>
          <w:szCs w:val="24"/>
        </w:rPr>
        <w:t>.</w:t>
      </w:r>
    </w:p>
    <w:p w14:paraId="26744EB0" w14:textId="514B4E60" w:rsidR="0036046D" w:rsidRPr="00382B5C" w:rsidRDefault="0036046D" w:rsidP="0036046D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O gestor da Unidade de Licitação, seu superior hierárquico e o Diretor demandante da licitação serão responsáveis por providenciar a instauração do PAP no âmbito do processo licitatório, nos termos da Parte 06 – Das Sanções Administrativas e do Processo Administrativo Punitivo, do Regulamento de Contratações da COPASA MG;</w:t>
      </w:r>
    </w:p>
    <w:p w14:paraId="754C8F46" w14:textId="61269CDE" w:rsidR="0036046D" w:rsidRPr="00382B5C" w:rsidRDefault="00FC27A5" w:rsidP="0036046D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Se houver indícios de que a infração administrativa possa configurar ato lesivo à COPASA MG, passível de apuração de apuração em PAR, na forma da Lei nº 12.846/2013, o gestor do contrato ou da unidade de licitação deverá encaminhar o Relatório de Abertura do PAP para análise prévia da Unidade Jurídica, para fins de atendimento do previsto no parágrafo único do art. 385 do Regulamento de Contratações da COPASA MG;</w:t>
      </w:r>
    </w:p>
    <w:p w14:paraId="215CD0B5" w14:textId="75492F1A" w:rsidR="00FC27A5" w:rsidRPr="00382B5C" w:rsidRDefault="00FC27A5" w:rsidP="0036046D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Caso a Unidade Jurídica entenda necessário, o Relatório poderá ser encaminhado para a Auditoria Interna, para que sejam realizadas diligências complementares para esclarecimento dos fatos;</w:t>
      </w:r>
    </w:p>
    <w:p w14:paraId="13A0E984" w14:textId="698E0AFE" w:rsidR="00FC27A5" w:rsidRPr="00382B5C" w:rsidRDefault="00FC27A5" w:rsidP="0036046D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Na hipótese do item anterior, a Auditoria Interna analisará a criticidade e a complexidade das diligências requeridas, com base, quando couber, nos critérios de classificação de denúncias, podendo definir outra Unidade competente para realizar tais diligências.</w:t>
      </w:r>
    </w:p>
    <w:p w14:paraId="7EA2AA24" w14:textId="1483B013" w:rsidR="005E0ED2" w:rsidRPr="00382B5C" w:rsidRDefault="005E0ED2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lastRenderedPageBreak/>
        <w:t xml:space="preserve">Todas as comunicações e notificações processuais ao licitante ou contratado serão realizadas obrigatoriamente por meio eletrônico, para os endereços de e-mails cadastrados junto à COPASA MG. </w:t>
      </w:r>
    </w:p>
    <w:p w14:paraId="57696B1A" w14:textId="1B951D17" w:rsidR="005E0ED2" w:rsidRPr="00382B5C" w:rsidRDefault="005E0ED2" w:rsidP="00F401F9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 xml:space="preserve">É ônus do licitante ou contratado a manutenção de seus endereços de e-mail atualizados junto à COPASA MG, de modo que será considerada como efetivada a notificação encaminhada para o último e-mail cadastrado. </w:t>
      </w:r>
    </w:p>
    <w:p w14:paraId="67570393" w14:textId="71F156C8" w:rsidR="008C3E58" w:rsidRPr="00382B5C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Os PAP</w:t>
      </w:r>
      <w:r w:rsidR="003B0AC0" w:rsidRPr="00382B5C">
        <w:rPr>
          <w:rFonts w:cs="Arial"/>
          <w:sz w:val="24"/>
          <w:szCs w:val="24"/>
        </w:rPr>
        <w:t>’</w:t>
      </w:r>
      <w:r w:rsidRPr="00382B5C">
        <w:rPr>
          <w:rFonts w:cs="Arial"/>
          <w:sz w:val="24"/>
          <w:szCs w:val="24"/>
        </w:rPr>
        <w:t>s serão instaurados independentemente de o licitante ou contratado já ser parte ou já estar cumprindo penalidade decorrente de outro PAP.</w:t>
      </w:r>
    </w:p>
    <w:p w14:paraId="103112C5" w14:textId="69C80642" w:rsidR="008C3E58" w:rsidRPr="006815DE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382B5C">
        <w:rPr>
          <w:rFonts w:cs="Arial"/>
          <w:sz w:val="24"/>
          <w:szCs w:val="24"/>
        </w:rPr>
        <w:t>Fica vedado agregar no mesmo</w:t>
      </w:r>
      <w:r w:rsidRPr="008C3E58">
        <w:rPr>
          <w:rFonts w:cs="Arial"/>
          <w:sz w:val="24"/>
          <w:szCs w:val="24"/>
        </w:rPr>
        <w:t xml:space="preserve"> PAP irregularidades da mesma empresa, relativas </w:t>
      </w:r>
      <w:r w:rsidRPr="006815DE">
        <w:rPr>
          <w:rFonts w:cs="Arial"/>
          <w:sz w:val="24"/>
          <w:szCs w:val="24"/>
        </w:rPr>
        <w:t>a contratos ou processos licitatórios distintos e que não estejam interrelacionados.</w:t>
      </w:r>
    </w:p>
    <w:p w14:paraId="45A9C66A" w14:textId="6986243B" w:rsidR="008C3E58" w:rsidRPr="0044479A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6815DE">
        <w:rPr>
          <w:rFonts w:cs="Arial"/>
          <w:sz w:val="24"/>
          <w:szCs w:val="24"/>
        </w:rPr>
        <w:t xml:space="preserve">O início da contagem do prazo da suspensão será </w:t>
      </w:r>
      <w:r w:rsidR="00522730" w:rsidRPr="0044479A">
        <w:rPr>
          <w:rFonts w:cs="Arial"/>
          <w:sz w:val="24"/>
          <w:szCs w:val="24"/>
        </w:rPr>
        <w:t>contabilizado</w:t>
      </w:r>
      <w:r w:rsidR="00522730">
        <w:rPr>
          <w:rFonts w:cs="Arial"/>
          <w:sz w:val="24"/>
          <w:szCs w:val="24"/>
        </w:rPr>
        <w:t xml:space="preserve"> </w:t>
      </w:r>
      <w:r w:rsidRPr="006815DE">
        <w:rPr>
          <w:rFonts w:cs="Arial"/>
          <w:sz w:val="24"/>
          <w:szCs w:val="24"/>
        </w:rPr>
        <w:t>a partir da data de publicação d</w:t>
      </w:r>
      <w:r w:rsidRPr="0044479A">
        <w:rPr>
          <w:rFonts w:cs="Arial"/>
          <w:sz w:val="24"/>
          <w:szCs w:val="24"/>
        </w:rPr>
        <w:t>o ato do Diretor</w:t>
      </w:r>
      <w:r w:rsidR="00B77684" w:rsidRPr="0044479A">
        <w:rPr>
          <w:rFonts w:cs="Arial"/>
          <w:sz w:val="24"/>
          <w:szCs w:val="24"/>
        </w:rPr>
        <w:t xml:space="preserve">. </w:t>
      </w:r>
    </w:p>
    <w:p w14:paraId="769C3DD5" w14:textId="5D616C2E" w:rsidR="00E35CFF" w:rsidRPr="0044479A" w:rsidRDefault="00E35CFF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44479A">
        <w:rPr>
          <w:rFonts w:cs="Arial"/>
          <w:bCs/>
          <w:sz w:val="24"/>
          <w:szCs w:val="24"/>
          <w:lang w:val="pt-PT"/>
        </w:rPr>
        <w:t>O registro da suspensão no cadastro da COPASA MG ocorrerá por meio de interface no sistema do PAP Eletrônico, a ser acionada pela Comissão Processante.</w:t>
      </w:r>
    </w:p>
    <w:p w14:paraId="1D2DA8DA" w14:textId="5B58F816" w:rsidR="008C3E58" w:rsidRPr="00584527" w:rsidRDefault="008C3E58" w:rsidP="00F401F9">
      <w:pPr>
        <w:pStyle w:val="RegCOPASA"/>
        <w:numPr>
          <w:ilvl w:val="1"/>
          <w:numId w:val="3"/>
        </w:numPr>
        <w:spacing w:line="340" w:lineRule="exact"/>
        <w:ind w:left="851" w:hanging="567"/>
        <w:rPr>
          <w:rFonts w:cs="Arial"/>
          <w:sz w:val="24"/>
          <w:szCs w:val="24"/>
        </w:rPr>
      </w:pPr>
      <w:r w:rsidRPr="00584527">
        <w:rPr>
          <w:rFonts w:cs="Arial"/>
          <w:sz w:val="24"/>
          <w:szCs w:val="24"/>
        </w:rPr>
        <w:t>Na hipótese de o licitante ou contratado ser apenado com suspensão em mais de um PAP, ele será impedido de participar de licitação e de contratar com a Companhia até o encerramento do prazo estabelecido para cada suspensão.</w:t>
      </w:r>
    </w:p>
    <w:p w14:paraId="2B6CEED5" w14:textId="397016D8" w:rsidR="00C947FE" w:rsidRDefault="00C947FE" w:rsidP="00B53E0B">
      <w:pPr>
        <w:pStyle w:val="RegCOPASA"/>
        <w:numPr>
          <w:ilvl w:val="0"/>
          <w:numId w:val="1"/>
        </w:numPr>
        <w:spacing w:before="160"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 xml:space="preserve">SANÇÕES </w:t>
      </w:r>
    </w:p>
    <w:p w14:paraId="0DCE97B0" w14:textId="56906094" w:rsidR="00C947FE" w:rsidRPr="003C09D7" w:rsidRDefault="00C947FE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0932AD">
        <w:rPr>
          <w:rFonts w:cs="Arial"/>
          <w:sz w:val="24"/>
          <w:szCs w:val="24"/>
        </w:rPr>
        <w:t>Poderão ser aplicadas aos licitantes e contratados as seguintes sanções administrativas:</w:t>
      </w:r>
    </w:p>
    <w:p w14:paraId="499DFFF2" w14:textId="5E76D2E6" w:rsidR="00C947FE" w:rsidRPr="003C09D7" w:rsidRDefault="00C947FE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3C09D7">
        <w:rPr>
          <w:rFonts w:cs="Arial"/>
          <w:sz w:val="24"/>
          <w:szCs w:val="24"/>
        </w:rPr>
        <w:t>advertência;</w:t>
      </w:r>
    </w:p>
    <w:p w14:paraId="4D70CBEB" w14:textId="64CDE678" w:rsidR="00C947FE" w:rsidRPr="00C947FE" w:rsidRDefault="00C947FE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947FE">
        <w:rPr>
          <w:rFonts w:cs="Arial"/>
          <w:sz w:val="24"/>
          <w:szCs w:val="24"/>
        </w:rPr>
        <w:t>multa, na forma prevista no instrumento convocatório;</w:t>
      </w:r>
    </w:p>
    <w:p w14:paraId="7B4BCA83" w14:textId="3E8731C4" w:rsidR="00C947FE" w:rsidRDefault="00C947FE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947FE">
        <w:rPr>
          <w:rFonts w:cs="Arial"/>
          <w:sz w:val="24"/>
          <w:szCs w:val="24"/>
        </w:rPr>
        <w:t>suspensão temporária de participação em licitação e impedimento de contratar com a COPASA MG, por prazo não superior a 2 (dois) anos.</w:t>
      </w:r>
    </w:p>
    <w:p w14:paraId="4F00520A" w14:textId="6782A011" w:rsidR="00A931D8" w:rsidRDefault="00A931D8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MULTAS</w:t>
      </w:r>
    </w:p>
    <w:p w14:paraId="1943887D" w14:textId="4843773C" w:rsidR="00A931D8" w:rsidRDefault="00A931D8" w:rsidP="005E0ED2">
      <w:pPr>
        <w:pStyle w:val="RegCOPASA"/>
        <w:numPr>
          <w:ilvl w:val="1"/>
          <w:numId w:val="3"/>
        </w:numPr>
        <w:spacing w:line="340" w:lineRule="exact"/>
        <w:ind w:left="709" w:hanging="567"/>
        <w:rPr>
          <w:rFonts w:cs="Arial"/>
          <w:sz w:val="24"/>
          <w:szCs w:val="24"/>
        </w:rPr>
      </w:pPr>
      <w:r w:rsidRPr="00A931D8">
        <w:rPr>
          <w:rFonts w:cs="Arial"/>
          <w:sz w:val="24"/>
          <w:szCs w:val="24"/>
        </w:rPr>
        <w:t>As multas serão definidas e aplicadas, conforme o caso concreto, observados os</w:t>
      </w:r>
      <w:r w:rsidRPr="00A931D8">
        <w:rPr>
          <w:rFonts w:cs="Arial"/>
          <w:spacing w:val="1"/>
          <w:sz w:val="24"/>
          <w:szCs w:val="24"/>
        </w:rPr>
        <w:t xml:space="preserve"> </w:t>
      </w:r>
      <w:r w:rsidRPr="00A931D8">
        <w:rPr>
          <w:rFonts w:cs="Arial"/>
          <w:sz w:val="24"/>
          <w:szCs w:val="24"/>
        </w:rPr>
        <w:t>seguintes</w:t>
      </w:r>
      <w:r w:rsidRPr="00A931D8">
        <w:rPr>
          <w:rFonts w:cs="Arial"/>
          <w:spacing w:val="-1"/>
          <w:sz w:val="24"/>
          <w:szCs w:val="24"/>
        </w:rPr>
        <w:t xml:space="preserve"> </w:t>
      </w:r>
      <w:r w:rsidRPr="00A931D8">
        <w:rPr>
          <w:rFonts w:cs="Arial"/>
          <w:sz w:val="24"/>
          <w:szCs w:val="24"/>
        </w:rPr>
        <w:t>parâmetros:</w:t>
      </w:r>
    </w:p>
    <w:p w14:paraId="77530DC0" w14:textId="4CE09253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na hipótese de interposição de recursos meramente protelatórios ou não regularização 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documentação de habilitação, nos termos do art. 43, § 1</w:t>
      </w:r>
      <w:r w:rsidR="00F73D6E">
        <w:rPr>
          <w:rFonts w:cs="Arial"/>
          <w:sz w:val="24"/>
          <w:szCs w:val="24"/>
        </w:rPr>
        <w:t>.</w:t>
      </w:r>
      <w:r w:rsidRPr="006D7E41">
        <w:rPr>
          <w:rFonts w:cs="Arial"/>
          <w:sz w:val="24"/>
          <w:szCs w:val="24"/>
        </w:rPr>
        <w:t>º da Lei Complementar n</w:t>
      </w:r>
      <w:r w:rsidR="00F73D6E">
        <w:rPr>
          <w:rFonts w:cs="Arial"/>
          <w:sz w:val="24"/>
          <w:szCs w:val="24"/>
        </w:rPr>
        <w:t>.</w:t>
      </w:r>
      <w:r w:rsidRPr="006D7E41">
        <w:rPr>
          <w:rFonts w:cs="Arial"/>
          <w:sz w:val="24"/>
          <w:szCs w:val="24"/>
        </w:rPr>
        <w:t>º 123, 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2006,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 conforme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previsto no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edital,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multa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será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aplicada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proporção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2%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(dois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</w:t>
      </w:r>
      <w:r w:rsid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10%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(dez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valor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melhor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oferta apresentada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procedimento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licitatório;</w:t>
      </w:r>
    </w:p>
    <w:p w14:paraId="626415F7" w14:textId="4A69280A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hipótese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recusa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injustificada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adjudicatário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em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assinar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ou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Ata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Registro</w:t>
      </w:r>
      <w:r w:rsidR="00C35264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Preço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dentro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prazo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estabelecido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edital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ou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apresentação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garantia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contratual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no</w:t>
      </w:r>
      <w:r w:rsidR="00F73D6E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prazo estipulado pela COPASA MG, ou não cumprimento da ordem de serviço inicial, a multa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será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lastRenderedPageBreak/>
        <w:t>aplicada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proporção 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2% (dois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10%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(dez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 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valor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contratual;</w:t>
      </w:r>
    </w:p>
    <w:p w14:paraId="258BBBA1" w14:textId="1EAAA0BB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7563D">
        <w:rPr>
          <w:rFonts w:cs="Arial"/>
          <w:sz w:val="24"/>
          <w:szCs w:val="24"/>
        </w:rPr>
        <w:t>no caso de descumprimento de prazos de fornecimento ou execução de serviços será aplicada a multa 0,5% (cinco décimos por cento) ao dia, limitado a 20% (vinte por cento) do valor contratual;</w:t>
      </w:r>
    </w:p>
    <w:p w14:paraId="12E4ECE5" w14:textId="7C12344A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nas demais hipóteses de descumprimento de prazos, cláusulas e obrigações constantes do contrato, 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multa será aplicada na proporção de 5% (cinco por cento) a 10% (dez por cento) sobre o valor 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parcela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executada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ou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saldo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remanescente 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contrato;</w:t>
      </w:r>
    </w:p>
    <w:p w14:paraId="4F62B4C7" w14:textId="78FF80FA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caso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inexecução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parcial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contrato,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multa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será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aplicada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na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proporção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de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10%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(dez</w:t>
      </w:r>
      <w:r w:rsidR="00314ECB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 cento) a 20% (vinte por cento) sobre o valor do saldo remanescente do contrato, limitada a</w:t>
      </w:r>
      <w:r w:rsidR="00314ECB">
        <w:rPr>
          <w:rFonts w:cs="Arial"/>
          <w:sz w:val="24"/>
          <w:szCs w:val="24"/>
        </w:rPr>
        <w:t xml:space="preserve"> </w:t>
      </w:r>
      <w:r w:rsidRPr="0067563D">
        <w:rPr>
          <w:rFonts w:cs="Arial"/>
          <w:sz w:val="24"/>
          <w:szCs w:val="24"/>
        </w:rPr>
        <w:t xml:space="preserve">20% (vinte por cento) </w:t>
      </w:r>
      <w:r w:rsidRPr="006D7E41">
        <w:rPr>
          <w:rFonts w:cs="Arial"/>
          <w:sz w:val="24"/>
          <w:szCs w:val="24"/>
        </w:rPr>
        <w:t>do valor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contratual;</w:t>
      </w:r>
    </w:p>
    <w:p w14:paraId="176D346D" w14:textId="2EEB0FBD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no caso de inexecução total do contrato, a multa será aplicada na proporção de 10% (dez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 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25%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(vinte 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cinco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 cento) sobre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valor contratual;</w:t>
      </w:r>
    </w:p>
    <w:p w14:paraId="0AC78CEC" w14:textId="02A962B1" w:rsidR="00A931D8" w:rsidRPr="0067563D" w:rsidRDefault="00A931D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6D7E41">
        <w:rPr>
          <w:rFonts w:cs="Arial"/>
          <w:sz w:val="24"/>
          <w:szCs w:val="24"/>
        </w:rPr>
        <w:t>nas demais hipóteses do art. 375 do Regulamento de Contratações da COPASA MG,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poderão ser estabelecidos critérios de aplicação de multa diversos dos estabelecidos nas</w:t>
      </w:r>
      <w:r w:rsidRPr="0067563D">
        <w:rPr>
          <w:rFonts w:cs="Arial"/>
          <w:sz w:val="24"/>
          <w:szCs w:val="24"/>
        </w:rPr>
        <w:t xml:space="preserve"> alíneas anteriores</w:t>
      </w:r>
      <w:r w:rsidRPr="006D7E41">
        <w:rPr>
          <w:rFonts w:cs="Arial"/>
          <w:sz w:val="24"/>
          <w:szCs w:val="24"/>
        </w:rPr>
        <w:t>,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limitado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a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20%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(vinte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por</w:t>
      </w:r>
      <w:r w:rsidRPr="0067563D">
        <w:rPr>
          <w:rFonts w:cs="Arial"/>
          <w:sz w:val="24"/>
          <w:szCs w:val="24"/>
        </w:rPr>
        <w:t xml:space="preserve"> </w:t>
      </w:r>
      <w:r w:rsidRPr="006D7E41">
        <w:rPr>
          <w:rFonts w:cs="Arial"/>
          <w:sz w:val="24"/>
          <w:szCs w:val="24"/>
        </w:rPr>
        <w:t>cento) do valor contratual.</w:t>
      </w:r>
    </w:p>
    <w:p w14:paraId="373BCDB5" w14:textId="78621003" w:rsidR="00A931D8" w:rsidRPr="0067563D" w:rsidRDefault="00A931D8" w:rsidP="005E0ED2">
      <w:pPr>
        <w:pStyle w:val="RegCOPASA"/>
        <w:numPr>
          <w:ilvl w:val="1"/>
          <w:numId w:val="3"/>
        </w:numPr>
        <w:spacing w:line="340" w:lineRule="exact"/>
        <w:ind w:left="709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6D7E41">
        <w:rPr>
          <w:rFonts w:cs="Arial"/>
          <w:sz w:val="24"/>
          <w:szCs w:val="24"/>
        </w:rPr>
        <w:t xml:space="preserve">Alternativamente ao disposto no </w:t>
      </w:r>
      <w:r>
        <w:rPr>
          <w:rFonts w:cs="Arial"/>
          <w:sz w:val="24"/>
          <w:szCs w:val="24"/>
        </w:rPr>
        <w:t>item 3.1</w:t>
      </w:r>
      <w:r w:rsidRPr="006D7E41">
        <w:rPr>
          <w:rFonts w:cs="Arial"/>
          <w:sz w:val="24"/>
          <w:szCs w:val="24"/>
        </w:rPr>
        <w:t>, poderão ser definidos percentuais fixos para aplicação de multas, bem como critérios de aplicação de multa diversos dos estabelecidos nest</w:t>
      </w:r>
      <w:r>
        <w:rPr>
          <w:rFonts w:cs="Arial"/>
          <w:sz w:val="24"/>
          <w:szCs w:val="24"/>
        </w:rPr>
        <w:t>e</w:t>
      </w:r>
      <w:r w:rsidRPr="006D7E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documento</w:t>
      </w:r>
      <w:r w:rsidRPr="006D7E41">
        <w:rPr>
          <w:rFonts w:cs="Arial"/>
          <w:sz w:val="24"/>
          <w:szCs w:val="24"/>
        </w:rPr>
        <w:t>, caso sejam incompatíveis com a natureza do objeto, desde que constantes do Termo de Referência e/ou edital e contrato respectivos.</w:t>
      </w:r>
    </w:p>
    <w:p w14:paraId="650D411E" w14:textId="20669085" w:rsidR="0067563D" w:rsidRPr="0044479A" w:rsidRDefault="0067563D" w:rsidP="005E0ED2">
      <w:pPr>
        <w:pStyle w:val="RegCOPASA"/>
        <w:numPr>
          <w:ilvl w:val="1"/>
          <w:numId w:val="3"/>
        </w:numPr>
        <w:spacing w:line="340" w:lineRule="exact"/>
        <w:ind w:left="709" w:hanging="567"/>
        <w:rPr>
          <w:rFonts w:eastAsia="Times New Roman" w:cs="Arial"/>
          <w:sz w:val="24"/>
          <w:szCs w:val="24"/>
          <w:lang w:eastAsia="pt-BR"/>
        </w:rPr>
      </w:pPr>
      <w:r w:rsidRPr="0044479A">
        <w:rPr>
          <w:rFonts w:eastAsia="Times New Roman" w:cs="Arial"/>
          <w:sz w:val="24"/>
          <w:szCs w:val="24"/>
          <w:lang w:eastAsia="pt-BR"/>
        </w:rPr>
        <w:t>No caso de não pagamento da multa, a Comissão Processante deverá solicitar à Tesouraria o desconto do valor da multa de créditos decorrentes de outros contratos vigentes celebrados com o contratado, e, imediatamente comunicar ao gestor do contrato a ser descontado.</w:t>
      </w:r>
      <w:r w:rsidR="00372EC9" w:rsidRPr="0044479A">
        <w:rPr>
          <w:rFonts w:cs="Arial"/>
          <w:bCs/>
          <w:color w:val="FF0000"/>
          <w:sz w:val="18"/>
          <w:szCs w:val="18"/>
          <w:lang w:val="pt-PT"/>
        </w:rPr>
        <w:t xml:space="preserve"> </w:t>
      </w:r>
    </w:p>
    <w:p w14:paraId="08B80F2D" w14:textId="72F8F067" w:rsidR="0067563D" w:rsidRPr="0044479A" w:rsidRDefault="0067563D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44479A">
        <w:rPr>
          <w:rFonts w:cs="Arial"/>
          <w:sz w:val="24"/>
          <w:szCs w:val="24"/>
        </w:rPr>
        <w:t>Não havendo contratos vigentes, deverá ser encaminhada comunicação à DRJU, para eventual cobrança judicial.</w:t>
      </w:r>
      <w:r w:rsidR="00372EC9" w:rsidRPr="0044479A">
        <w:rPr>
          <w:rFonts w:cs="Arial"/>
          <w:sz w:val="24"/>
          <w:szCs w:val="24"/>
        </w:rPr>
        <w:t xml:space="preserve"> </w:t>
      </w:r>
    </w:p>
    <w:p w14:paraId="2E5D1C51" w14:textId="6ABF2A6E" w:rsidR="00811202" w:rsidRDefault="00EA69D3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INSTRUÇÃO DO PAP</w:t>
      </w:r>
    </w:p>
    <w:p w14:paraId="50A53109" w14:textId="30EE509A" w:rsidR="00C56B60" w:rsidRPr="003C09D7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3C09D7">
        <w:rPr>
          <w:rFonts w:cs="Arial"/>
          <w:sz w:val="24"/>
          <w:szCs w:val="24"/>
        </w:rPr>
        <w:t xml:space="preserve">O responsável </w:t>
      </w:r>
      <w:r w:rsidR="00522730" w:rsidRPr="0044479A">
        <w:rPr>
          <w:rFonts w:cs="Arial"/>
          <w:bCs/>
          <w:sz w:val="24"/>
          <w:szCs w:val="24"/>
        </w:rPr>
        <w:t>por recomendar a</w:t>
      </w:r>
      <w:r w:rsidR="00522730" w:rsidRPr="00522730">
        <w:rPr>
          <w:rFonts w:cs="Arial"/>
          <w:bCs/>
          <w:sz w:val="24"/>
          <w:szCs w:val="24"/>
        </w:rPr>
        <w:t xml:space="preserve"> </w:t>
      </w:r>
      <w:r w:rsidRPr="003C09D7">
        <w:rPr>
          <w:rFonts w:cs="Arial"/>
          <w:sz w:val="24"/>
          <w:szCs w:val="24"/>
        </w:rPr>
        <w:t>instauração do PAP</w:t>
      </w:r>
      <w:r w:rsidR="00B075ED">
        <w:rPr>
          <w:rFonts w:cs="Arial"/>
          <w:sz w:val="24"/>
          <w:szCs w:val="24"/>
        </w:rPr>
        <w:t xml:space="preserve"> </w:t>
      </w:r>
      <w:r w:rsidRPr="00383D1D">
        <w:rPr>
          <w:rFonts w:cs="Arial"/>
          <w:sz w:val="24"/>
          <w:szCs w:val="24"/>
        </w:rPr>
        <w:t>será competente para descrever os fatos, juntar documentos e,</w:t>
      </w:r>
      <w:r w:rsidRPr="003C09D7">
        <w:rPr>
          <w:rFonts w:cs="Arial"/>
          <w:sz w:val="24"/>
          <w:szCs w:val="24"/>
        </w:rPr>
        <w:t xml:space="preserve"> dentre outras atividades, instruir o PAP com as seguintes informações, no que couber, sem prejuízo de outras que se fizerem necessárias:</w:t>
      </w:r>
    </w:p>
    <w:p w14:paraId="6C570414" w14:textId="08C84AFD" w:rsidR="00C56B60" w:rsidRPr="003C09D7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eastAsia="Times New Roman" w:cs="Arial"/>
          <w:b/>
          <w:bCs/>
          <w:sz w:val="24"/>
          <w:szCs w:val="24"/>
          <w:lang w:eastAsia="pt-BR"/>
        </w:rPr>
      </w:pPr>
      <w:r w:rsidRPr="003C09D7">
        <w:rPr>
          <w:rFonts w:cs="Arial"/>
          <w:sz w:val="24"/>
          <w:szCs w:val="24"/>
        </w:rPr>
        <w:t>identificação</w:t>
      </w:r>
      <w:r w:rsidR="00FC611F" w:rsidRPr="003C09D7">
        <w:rPr>
          <w:rFonts w:cs="Arial"/>
          <w:sz w:val="24"/>
          <w:szCs w:val="24"/>
        </w:rPr>
        <w:t xml:space="preserve"> </w:t>
      </w:r>
      <w:r w:rsidRPr="003C09D7">
        <w:rPr>
          <w:rFonts w:cs="Arial"/>
          <w:sz w:val="24"/>
          <w:szCs w:val="24"/>
        </w:rPr>
        <w:t>do licitante ou contratado, bem como do procedimento licitatório ou contrato que supostamente teve suas regras e/ou cláusulas descumpridas, bem como indicação das cláusulas contratuais e/ou dos itens dos anexos ao contrato supostamente violados;</w:t>
      </w:r>
    </w:p>
    <w:p w14:paraId="61445CFD" w14:textId="1912E452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lastRenderedPageBreak/>
        <w:t>descrição</w:t>
      </w:r>
      <w:r w:rsidR="00FC611F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>dos fatos ocorridos e do inadimplemento total ou parcial verificado;</w:t>
      </w:r>
    </w:p>
    <w:p w14:paraId="16B03B24" w14:textId="5EEA2B02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apresentação</w:t>
      </w:r>
      <w:r w:rsidR="00FC611F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>dos meios utilizados como tentativa para solucionar os problemas, e das justificativas apresentadas pelo licitante ou contratado, se houver;</w:t>
      </w:r>
    </w:p>
    <w:p w14:paraId="01D996C5" w14:textId="69C9E489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indicação</w:t>
      </w:r>
      <w:r w:rsidR="00FC611F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 xml:space="preserve">de eventuais prejuízos e riscos causados à COPASA MG; </w:t>
      </w:r>
    </w:p>
    <w:p w14:paraId="1379AA02" w14:textId="0C9896F7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indicação</w:t>
      </w:r>
      <w:r w:rsidR="00FC611F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>da gravidade do inadimplemento e das sanções cabíveis ao licitante ou contratado;</w:t>
      </w:r>
    </w:p>
    <w:p w14:paraId="3D7BC92C" w14:textId="7275234C" w:rsid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documentos</w:t>
      </w:r>
      <w:r w:rsidR="00FC611F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>que comprovem o descumprimento da obrigação pelo licitante ou contratado.</w:t>
      </w:r>
    </w:p>
    <w:p w14:paraId="3499C4AC" w14:textId="1E5C9BD7" w:rsidR="004A1752" w:rsidRDefault="004A1752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 w:rsidRPr="000932AD">
        <w:rPr>
          <w:rFonts w:eastAsia="Times New Roman" w:cs="Arial"/>
          <w:b/>
          <w:bCs/>
          <w:sz w:val="24"/>
          <w:szCs w:val="24"/>
          <w:lang w:eastAsia="pt-BR"/>
        </w:rPr>
        <w:t>NOTIFICAÇÃO PREMONITÓRIA</w:t>
      </w:r>
    </w:p>
    <w:p w14:paraId="1DA36050" w14:textId="77777777" w:rsidR="00FA52FA" w:rsidRPr="003C09D7" w:rsidRDefault="00FA52FA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3C09D7">
        <w:rPr>
          <w:rFonts w:cs="Arial"/>
          <w:sz w:val="24"/>
          <w:szCs w:val="24"/>
        </w:rPr>
        <w:t>O licitante ou contratado deverá ser notificado pela Comissão para apresentação de de</w:t>
      </w:r>
      <w:r w:rsidRPr="00383D1D">
        <w:rPr>
          <w:rFonts w:cs="Arial"/>
          <w:sz w:val="24"/>
          <w:szCs w:val="24"/>
        </w:rPr>
        <w:t>fesa prévia</w:t>
      </w:r>
      <w:r>
        <w:rPr>
          <w:rFonts w:cs="Arial"/>
          <w:sz w:val="24"/>
          <w:szCs w:val="24"/>
        </w:rPr>
        <w:t>.</w:t>
      </w:r>
    </w:p>
    <w:p w14:paraId="76335BD4" w14:textId="2E10D42A" w:rsidR="00C56B60" w:rsidRPr="007A4E1C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>A Notificação Premonitória deverá conter:</w:t>
      </w:r>
    </w:p>
    <w:p w14:paraId="2B56C5E9" w14:textId="13BF69EF" w:rsidR="00C56B60" w:rsidRPr="007A4E1C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>a identificação da pessoa natural ou jurídica interessada;</w:t>
      </w:r>
    </w:p>
    <w:p w14:paraId="3AF332B8" w14:textId="164F5B59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 descrição da finalidade do documento;</w:t>
      </w:r>
    </w:p>
    <w:p w14:paraId="1EED83BA" w14:textId="5FD2B846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 indicação dos fatos e fundamentos legais pertinentes;</w:t>
      </w:r>
    </w:p>
    <w:p w14:paraId="18E349F8" w14:textId="5D88697B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a intimação/notificação para apresentação de defesa prévia e eventuais provas a produzir; </w:t>
      </w:r>
    </w:p>
    <w:p w14:paraId="629968F0" w14:textId="6954AFA0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 apresentação do prazo e o local para manifestação de defesa;</w:t>
      </w:r>
    </w:p>
    <w:p w14:paraId="325BA1B8" w14:textId="0B12214A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 informação quanto à possibilidade do licitante ou contratado ter vista dos autos, bem como de obter cópias dos documentos neles contidos.</w:t>
      </w:r>
    </w:p>
    <w:p w14:paraId="1E4492D2" w14:textId="45E4F6B9" w:rsidR="002D6DD5" w:rsidRDefault="00FA52FA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DEFESA PRÉVIA</w:t>
      </w:r>
    </w:p>
    <w:p w14:paraId="0057E438" w14:textId="24D6568C" w:rsidR="00C56B60" w:rsidRPr="007A4E1C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>O prazo para apresentação da defesa prévia, pelo licitante ou contratado, será de 10 (dez) dias úteis, a contar do recebimento da Notificação Premonitória.</w:t>
      </w:r>
    </w:p>
    <w:p w14:paraId="46DAD9B0" w14:textId="788B1FE6" w:rsidR="00C56B60" w:rsidRPr="007A4E1C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 xml:space="preserve">Com base em pedido devidamente fundamentado pelo licitante ou contratado, o prazo previsto no </w:t>
      </w:r>
      <w:r w:rsidR="002D6DD5" w:rsidRPr="00383D1D">
        <w:rPr>
          <w:rFonts w:cs="Arial"/>
          <w:sz w:val="24"/>
          <w:szCs w:val="24"/>
        </w:rPr>
        <w:t>item anterior</w:t>
      </w:r>
      <w:r w:rsidR="003A5836" w:rsidRPr="00383D1D">
        <w:rPr>
          <w:rFonts w:cs="Arial"/>
          <w:sz w:val="24"/>
          <w:szCs w:val="24"/>
        </w:rPr>
        <w:t xml:space="preserve"> </w:t>
      </w:r>
      <w:r w:rsidRPr="00383D1D">
        <w:rPr>
          <w:rFonts w:cs="Arial"/>
          <w:sz w:val="24"/>
          <w:szCs w:val="24"/>
        </w:rPr>
        <w:t>poderá ser prorrogado por meio de decisão</w:t>
      </w:r>
      <w:r w:rsidRPr="007A4E1C">
        <w:rPr>
          <w:rFonts w:cs="Arial"/>
          <w:sz w:val="24"/>
          <w:szCs w:val="24"/>
        </w:rPr>
        <w:t xml:space="preserve"> motivada do responsável pela instauração do PAP, desde que respeitado o interesse público.</w:t>
      </w:r>
    </w:p>
    <w:p w14:paraId="7568B627" w14:textId="03AFD791" w:rsidR="002D6DD5" w:rsidRDefault="007A4E1C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A</w:t>
      </w:r>
      <w:r w:rsidR="00BB5FFF">
        <w:rPr>
          <w:rFonts w:eastAsia="Times New Roman" w:cs="Arial"/>
          <w:b/>
          <w:bCs/>
          <w:sz w:val="24"/>
          <w:szCs w:val="24"/>
          <w:lang w:eastAsia="pt-BR"/>
        </w:rPr>
        <w:t>NÁLISE DA COMISSÃO</w:t>
      </w:r>
    </w:p>
    <w:p w14:paraId="54DE0842" w14:textId="1615F5E8" w:rsidR="00C56B60" w:rsidRPr="00F12A9D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 xml:space="preserve">Apresentada a defesa prévia, a Comissão deverá analisar o caso concreto considerando as circunstâncias previstas no art. 377 do Regulamento de Contratações da COPASA MG e manifestar, por meio do Parecer Técnico, </w:t>
      </w:r>
      <w:r w:rsidRPr="00811E92">
        <w:rPr>
          <w:rFonts w:cs="Arial"/>
          <w:sz w:val="24"/>
          <w:szCs w:val="24"/>
        </w:rPr>
        <w:t>sobre as alegações, as eventuais provas produzidas e</w:t>
      </w:r>
      <w:r w:rsidRPr="007A4E1C">
        <w:rPr>
          <w:rFonts w:cs="Arial"/>
          <w:sz w:val="24"/>
          <w:szCs w:val="24"/>
        </w:rPr>
        <w:t xml:space="preserve"> a viabilidade de aplicação da penalidade.</w:t>
      </w:r>
    </w:p>
    <w:p w14:paraId="638790E2" w14:textId="62CE1281" w:rsidR="00F12A9D" w:rsidRDefault="00F12A9D" w:rsidP="00F12A9D">
      <w:pPr>
        <w:pStyle w:val="RegCOPASA"/>
        <w:spacing w:line="340" w:lineRule="exact"/>
        <w:ind w:left="426"/>
        <w:rPr>
          <w:rFonts w:cs="Arial"/>
          <w:sz w:val="24"/>
          <w:szCs w:val="24"/>
        </w:rPr>
      </w:pPr>
    </w:p>
    <w:p w14:paraId="16A8C7FE" w14:textId="77777777" w:rsidR="00F12A9D" w:rsidRPr="007A4E1C" w:rsidRDefault="00F12A9D" w:rsidP="00F12A9D">
      <w:pPr>
        <w:pStyle w:val="RegCOPASA"/>
        <w:spacing w:line="340" w:lineRule="exact"/>
        <w:ind w:left="426"/>
        <w:rPr>
          <w:rFonts w:eastAsia="Times New Roman" w:cs="Arial"/>
          <w:b/>
          <w:bCs/>
          <w:sz w:val="24"/>
          <w:szCs w:val="24"/>
          <w:lang w:eastAsia="pt-BR"/>
        </w:rPr>
      </w:pPr>
    </w:p>
    <w:p w14:paraId="10EDCA9C" w14:textId="260FFCE8" w:rsidR="002D6DD5" w:rsidRDefault="009A6A68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 w:rsidRPr="000932AD">
        <w:rPr>
          <w:rFonts w:eastAsia="Times New Roman" w:cs="Arial"/>
          <w:b/>
          <w:bCs/>
          <w:sz w:val="24"/>
          <w:szCs w:val="24"/>
          <w:lang w:eastAsia="pt-BR"/>
        </w:rPr>
        <w:lastRenderedPageBreak/>
        <w:t>PENALIDADES</w:t>
      </w:r>
    </w:p>
    <w:p w14:paraId="64EFB39A" w14:textId="0F937CB4" w:rsidR="00C56B60" w:rsidRPr="007A4E1C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>Para aplicação da penalidade de suspensão ao licitante ou contratado, a Comissão deverá, primeiramente, definir uma das penas base a seguir, observado o respectivo ato ilícito cometido, nos termos do art. 375 do Regulamento de Contratações da COPASA MG:</w:t>
      </w:r>
    </w:p>
    <w:p w14:paraId="5AC9FCCD" w14:textId="2DCFEAD8" w:rsidR="00C56B60" w:rsidRPr="007A4E1C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eastAsia="Times New Roman" w:cs="Arial"/>
          <w:b/>
          <w:bCs/>
          <w:sz w:val="24"/>
          <w:szCs w:val="24"/>
          <w:lang w:eastAsia="pt-BR"/>
        </w:rPr>
      </w:pPr>
      <w:r w:rsidRPr="007A4E1C">
        <w:rPr>
          <w:rFonts w:cs="Arial"/>
          <w:sz w:val="24"/>
          <w:szCs w:val="24"/>
        </w:rPr>
        <w:t>descumprimento de prazos, cláusulas e obrigações constantes do contrato: pena base de 6 (seis) meses;</w:t>
      </w:r>
    </w:p>
    <w:p w14:paraId="11F426DB" w14:textId="1653F974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inexecução total ou parcial do contrato: pena base de 6 (seis) meses;</w:t>
      </w:r>
    </w:p>
    <w:p w14:paraId="5E8365FD" w14:textId="6A44F307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condenação definitiva por praticar, por meios dolosos, fraude fiscal no recolhimento de quaisquer tributos: pena base de 1 (um) ano;</w:t>
      </w:r>
    </w:p>
    <w:p w14:paraId="71EC9138" w14:textId="32DB36EB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prática de atos ilícitos visando a frustrar os objetivos da licitação ou ato fraudulento na execução do contrato: pena base de 1 (um) ano;</w:t>
      </w:r>
    </w:p>
    <w:p w14:paraId="1B8C0A48" w14:textId="33C79D83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demonstrar não possuir idoneidade para contratar com a COPASA MG em virtude de atos ilícitos praticados: pena base de 6 (seis) meses;</w:t>
      </w:r>
    </w:p>
    <w:p w14:paraId="66732639" w14:textId="36C454E6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recusa injustificada do adjudicatário em assinar o contrato dentro do prazo estabelecido no edital: pena base de 3 (três) meses;</w:t>
      </w:r>
    </w:p>
    <w:p w14:paraId="6A8E5024" w14:textId="38025C27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não comprovação, injustificada, da autenticidade e da veracidade da documentação na COPASA MG, quando haja indícios da prática de ato ilícito: pena base de 1 (um) ano;</w:t>
      </w:r>
    </w:p>
    <w:p w14:paraId="70A56372" w14:textId="5725667F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interposição de recursos meramente protelatórios: pena base de 3 (três) meses;</w:t>
      </w:r>
    </w:p>
    <w:p w14:paraId="13E4FB9C" w14:textId="4BF4AA33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não regularização da documentação de habilitação, nos termos do art. 43, § 1º da Lei Complementar nº 123/2006 e conforme previsto no edital: pena base de 3 (três) meses;</w:t>
      </w:r>
    </w:p>
    <w:p w14:paraId="5295586D" w14:textId="5AE0DE86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não apresentação da garantia contratual no prazo estipulado pela COPASA MG: pena base de 3 (três) meses;</w:t>
      </w:r>
    </w:p>
    <w:p w14:paraId="466E35BF" w14:textId="5AA4BC89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não manutenção de sua proposta, dentro do prazo de validade: pena base de 3 (três) meses;</w:t>
      </w:r>
    </w:p>
    <w:p w14:paraId="0D10CCA9" w14:textId="6C9BAB6C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comportar-se de modo inidôneo ou cometer fraude de qualquer natureza: pena base de 1 (um) ano; </w:t>
      </w:r>
    </w:p>
    <w:p w14:paraId="588834ED" w14:textId="645F647A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praticar ato lesivo previsto no art. 5º da Lei Federal nº 12.846/2013: pena base de 1 (um) ano;</w:t>
      </w:r>
    </w:p>
    <w:p w14:paraId="7C635783" w14:textId="0484E018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demais infrações previstas no edital: pena base de 6 (seis) meses.</w:t>
      </w:r>
    </w:p>
    <w:p w14:paraId="0A21409E" w14:textId="57E4835F" w:rsidR="00C56B60" w:rsidRP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Após a definição da pena base, a mesma ser</w:t>
      </w:r>
      <w:r w:rsidR="0015126B">
        <w:rPr>
          <w:rFonts w:cs="Arial"/>
          <w:sz w:val="24"/>
          <w:szCs w:val="24"/>
        </w:rPr>
        <w:t>á</w:t>
      </w:r>
      <w:r w:rsidRPr="00C56B60">
        <w:rPr>
          <w:rFonts w:cs="Arial"/>
          <w:sz w:val="24"/>
          <w:szCs w:val="24"/>
        </w:rPr>
        <w:t xml:space="preserve"> agravada nas seguintes hipóteses:</w:t>
      </w:r>
    </w:p>
    <w:p w14:paraId="38B8A2F9" w14:textId="33C95A8A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</w:t>
      </w:r>
      <w:r w:rsidR="000A7B3C">
        <w:rPr>
          <w:rFonts w:cs="Arial"/>
          <w:sz w:val="24"/>
          <w:szCs w:val="24"/>
        </w:rPr>
        <w:t xml:space="preserve"> </w:t>
      </w:r>
      <w:r w:rsidRPr="00C56B60">
        <w:rPr>
          <w:rFonts w:cs="Arial"/>
          <w:sz w:val="24"/>
          <w:szCs w:val="24"/>
        </w:rPr>
        <w:t>1/4 (um quarto) se o apenado for reincidente;</w:t>
      </w:r>
    </w:p>
    <w:p w14:paraId="1E50FF6E" w14:textId="384D1DB5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1/4 (um quarto) se a falta do apenado tiver produzido prejuízos relevantes para a COPASA MG;</w:t>
      </w:r>
    </w:p>
    <w:p w14:paraId="2463D1B0" w14:textId="08700ACE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lastRenderedPageBreak/>
        <w:t>em 1/4 (um quarto) se o apenado for omisso ou se negar a responder às diligencias determinadas pela COPASA MG;</w:t>
      </w:r>
    </w:p>
    <w:p w14:paraId="247025A8" w14:textId="59085E1F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1/4 (um quarto) se comprovado manifesto intuito protelatório do apenado em cumprir suas obrigações.</w:t>
      </w:r>
    </w:p>
    <w:p w14:paraId="7D6153E7" w14:textId="5E0C3BDB" w:rsidR="00C56B60" w:rsidRP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Após a definição da pena base e, quando for o caso, aplicação de agravantes, a pena ser</w:t>
      </w:r>
      <w:r w:rsidR="0015126B">
        <w:rPr>
          <w:rFonts w:cs="Arial"/>
          <w:sz w:val="24"/>
          <w:szCs w:val="24"/>
        </w:rPr>
        <w:t>á</w:t>
      </w:r>
      <w:r w:rsidRPr="00C56B60">
        <w:rPr>
          <w:rFonts w:cs="Arial"/>
          <w:sz w:val="24"/>
          <w:szCs w:val="24"/>
        </w:rPr>
        <w:t xml:space="preserve"> atenuada nas seguintes hipóteses:</w:t>
      </w:r>
    </w:p>
    <w:p w14:paraId="19DCB5C3" w14:textId="6DA84E13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1/8 (um oitavo) se o apenado não for reincidente;</w:t>
      </w:r>
    </w:p>
    <w:p w14:paraId="4335C298" w14:textId="41EFEDED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1/8 (um oitavo) se a falta do apenado não tiver produzido prejuízos relevantes para COPASA MG;</w:t>
      </w:r>
    </w:p>
    <w:p w14:paraId="00772960" w14:textId="751B9F7B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em 1/6 (um </w:t>
      </w:r>
      <w:r w:rsidR="00B075ED">
        <w:rPr>
          <w:rFonts w:cs="Arial"/>
          <w:sz w:val="24"/>
          <w:szCs w:val="24"/>
        </w:rPr>
        <w:t>sexto</w:t>
      </w:r>
      <w:r w:rsidRPr="00C56B60">
        <w:rPr>
          <w:rFonts w:cs="Arial"/>
          <w:sz w:val="24"/>
          <w:szCs w:val="24"/>
        </w:rPr>
        <w:t>) se o apenado tiver reconhecido a falta e se disponibilizado a corrigi-la;</w:t>
      </w:r>
    </w:p>
    <w:p w14:paraId="767AE76B" w14:textId="4649BFF9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1/6 (um sexto) se o apenado comprovar a existência e a eficácia de procedimentos internos de integridade, de acordo com os requisitos do art. 42 do Decreto Federal nº 11.129/2022, que regulamenta a Lei Federal nº 12.846/2013, que dispõe sobre a responsabilização administrativa e civil de pessoas jurídicas pela prática de atos contra a administração pública, nacional ou estrangeira;</w:t>
      </w:r>
    </w:p>
    <w:p w14:paraId="640CDFC4" w14:textId="5C851142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1/4 (um quarto) se comprovado que a COPASA MG contribuiu, em alguma medida, para a ocorrência da falta;</w:t>
      </w:r>
    </w:p>
    <w:p w14:paraId="5CF15D29" w14:textId="23287A4A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1/4 (um quarto) se comprovado que a falta ocorreu por fator externo, alheio à vontade do apenado;</w:t>
      </w:r>
    </w:p>
    <w:p w14:paraId="328FCA82" w14:textId="0218B7AE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em 1/6 (um sexto) se o apenado tiver firmado outros contratos com a COPASA MG que demonstrem boa qualidade do serviço prestado, comprovada por meio das avaliações realizadas.</w:t>
      </w:r>
    </w:p>
    <w:p w14:paraId="5158A42F" w14:textId="2360DD90" w:rsidR="00C56B60" w:rsidRP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Na hipótese de a pena final resultar em número decimal, deve-se considerar apenas o algarismo inteiro, situado à esquerda da vírgula.</w:t>
      </w:r>
    </w:p>
    <w:p w14:paraId="509F7970" w14:textId="54BE37E5" w:rsid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Para os fins do PAP, entende-se por reincidente o licitante ou contratado que praticar nova infração, de qualquer natureza, no prazo de 5 (cinco) anos, contados da decisão definitiva em PAP anterior.</w:t>
      </w:r>
    </w:p>
    <w:p w14:paraId="1D63B675" w14:textId="644C08B2" w:rsidR="00C156DF" w:rsidRPr="0015126B" w:rsidRDefault="0015126B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15126B">
        <w:rPr>
          <w:rFonts w:cs="Arial"/>
          <w:sz w:val="24"/>
          <w:szCs w:val="24"/>
        </w:rPr>
        <w:t>Quando o cálculo da dosimetria da pena resultar em “zero”, será aplicada a sanção de advertência, nos termos do inciso II, do § 3º, do art. 376 do Regulamento de Contratações da COPASA MG.</w:t>
      </w:r>
    </w:p>
    <w:p w14:paraId="2BD223D6" w14:textId="31045DE9" w:rsidR="00C56B60" w:rsidRPr="00811E92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7A4E1C">
        <w:rPr>
          <w:rFonts w:cs="Arial"/>
          <w:sz w:val="24"/>
          <w:szCs w:val="24"/>
        </w:rPr>
        <w:t xml:space="preserve">Quando da aplicação da penalidade de suspensão de licitar e contratar com a COPASA MG, a Comissão, no uso do seu poder discricionário, poderá decidir motivadamente por um </w:t>
      </w:r>
      <w:r w:rsidRPr="007A4E1C">
        <w:rPr>
          <w:rFonts w:cs="Arial"/>
          <w:i/>
          <w:iCs/>
          <w:sz w:val="24"/>
          <w:szCs w:val="24"/>
        </w:rPr>
        <w:t xml:space="preserve">quantum </w:t>
      </w:r>
      <w:r w:rsidRPr="007A4E1C">
        <w:rPr>
          <w:rFonts w:cs="Arial"/>
          <w:sz w:val="24"/>
          <w:szCs w:val="24"/>
        </w:rPr>
        <w:t xml:space="preserve">da pena diferente do resultado apresentado na metodologia de cálculo disposta nos </w:t>
      </w:r>
      <w:r w:rsidR="00C156DF" w:rsidRPr="00811E92">
        <w:rPr>
          <w:rFonts w:cs="Arial"/>
          <w:sz w:val="24"/>
          <w:szCs w:val="24"/>
        </w:rPr>
        <w:t>itens anteriores</w:t>
      </w:r>
      <w:r w:rsidRPr="00811E92">
        <w:rPr>
          <w:rFonts w:cs="Arial"/>
          <w:sz w:val="24"/>
          <w:szCs w:val="24"/>
        </w:rPr>
        <w:t>.</w:t>
      </w:r>
    </w:p>
    <w:p w14:paraId="37B59997" w14:textId="06D5E35C" w:rsidR="00C56B60" w:rsidRP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Ocorrendo outras situações que agravem ou atenuem a conduta do licitante ou contratado, não avaliados na metodologia de cálculo, a Comissão poderá utilizá-las, motivadamente, para definição de outro prazo de cumprimento da pena.</w:t>
      </w:r>
    </w:p>
    <w:p w14:paraId="4CD20F52" w14:textId="622034E8" w:rsidR="00C56B60" w:rsidRP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lastRenderedPageBreak/>
        <w:t>Após definir a sanção a ser aplicada ao licitante ou contratado, conforme os critérios de dosimetria, a Comissão encaminhará o PAP ao Diretor da unidade gestora para proferir a decisão.</w:t>
      </w:r>
    </w:p>
    <w:p w14:paraId="03A9D99B" w14:textId="1682EA98" w:rsidR="00CC4E5D" w:rsidRDefault="00EA69D3" w:rsidP="005E0ED2">
      <w:pPr>
        <w:pStyle w:val="RegCOPASA"/>
        <w:numPr>
          <w:ilvl w:val="0"/>
          <w:numId w:val="3"/>
        </w:numPr>
        <w:spacing w:line="340" w:lineRule="exact"/>
        <w:ind w:left="426" w:hanging="426"/>
        <w:rPr>
          <w:rFonts w:eastAsia="Times New Roman" w:cs="Arial"/>
          <w:b/>
          <w:bCs/>
          <w:sz w:val="24"/>
          <w:szCs w:val="24"/>
          <w:lang w:eastAsia="pt-BR"/>
        </w:rPr>
      </w:pPr>
      <w:r>
        <w:rPr>
          <w:rFonts w:eastAsia="Times New Roman" w:cs="Arial"/>
          <w:b/>
          <w:bCs/>
          <w:sz w:val="24"/>
          <w:szCs w:val="24"/>
          <w:lang w:eastAsia="pt-BR"/>
        </w:rPr>
        <w:t>CONSIDERAÇÕES FINAIS</w:t>
      </w:r>
    </w:p>
    <w:p w14:paraId="31A291FC" w14:textId="4C92B250" w:rsidR="00C56B60" w:rsidRPr="00CF12E4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eastAsia="Times New Roman" w:cs="Arial"/>
          <w:b/>
          <w:bCs/>
          <w:sz w:val="24"/>
          <w:szCs w:val="24"/>
          <w:lang w:eastAsia="pt-BR"/>
        </w:rPr>
      </w:pPr>
      <w:r w:rsidRPr="00CF12E4">
        <w:rPr>
          <w:rFonts w:cs="Arial"/>
          <w:sz w:val="24"/>
          <w:szCs w:val="24"/>
        </w:rPr>
        <w:t>O Diretor da unidade gestora poderá:</w:t>
      </w:r>
    </w:p>
    <w:p w14:paraId="44C7382E" w14:textId="4B9A38C5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devolver o PAP para que a Comissão complemente a instrução; </w:t>
      </w:r>
    </w:p>
    <w:p w14:paraId="29C30911" w14:textId="75C3FB37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fixar a penalidade ao licitante ou contratado; ou </w:t>
      </w:r>
    </w:p>
    <w:p w14:paraId="3A3F882D" w14:textId="63F56F1A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decidir pelo seu arquivamento.</w:t>
      </w:r>
    </w:p>
    <w:p w14:paraId="3257E643" w14:textId="3576AC44" w:rsid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 xml:space="preserve">No caso de o Diretor aplicar a sanção ao licitante ou contratado, deverá ser </w:t>
      </w:r>
      <w:r w:rsidR="002114E3">
        <w:rPr>
          <w:rFonts w:cs="Arial"/>
          <w:sz w:val="24"/>
          <w:szCs w:val="24"/>
        </w:rPr>
        <w:t xml:space="preserve">elaborada </w:t>
      </w:r>
      <w:r w:rsidRPr="00C56B60">
        <w:rPr>
          <w:rFonts w:cs="Arial"/>
          <w:sz w:val="24"/>
          <w:szCs w:val="24"/>
        </w:rPr>
        <w:t>Comunicação Externa e Ato do Diretor.</w:t>
      </w:r>
    </w:p>
    <w:p w14:paraId="71296FDA" w14:textId="15091604" w:rsidR="00C56B60" w:rsidRPr="00811E92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F12E4">
        <w:rPr>
          <w:rFonts w:cs="Arial"/>
          <w:sz w:val="24"/>
          <w:szCs w:val="24"/>
        </w:rPr>
        <w:t xml:space="preserve">Após a elaboração dos documentos citados no </w:t>
      </w:r>
      <w:r w:rsidR="007568A4" w:rsidRPr="00811E92">
        <w:rPr>
          <w:rFonts w:cs="Arial"/>
          <w:sz w:val="24"/>
          <w:szCs w:val="24"/>
        </w:rPr>
        <w:t>item anterior</w:t>
      </w:r>
      <w:r w:rsidRPr="00811E92">
        <w:rPr>
          <w:rFonts w:cs="Arial"/>
          <w:sz w:val="24"/>
          <w:szCs w:val="24"/>
        </w:rPr>
        <w:t>, a Diretoria Adjunta Jurídica remeterá o PAP à Comissão para que a Comunicação Externa seja enviada ao licitante ou contratado.</w:t>
      </w:r>
    </w:p>
    <w:p w14:paraId="5DB50464" w14:textId="0C882134" w:rsidR="00C56B60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811E92">
        <w:rPr>
          <w:rFonts w:cs="Arial"/>
          <w:sz w:val="24"/>
          <w:szCs w:val="24"/>
        </w:rPr>
        <w:t xml:space="preserve">Da decisão do Diretor que resultar na aplicação das sanções </w:t>
      </w:r>
      <w:r w:rsidR="007568A4" w:rsidRPr="00811E92">
        <w:rPr>
          <w:rFonts w:cs="Arial"/>
          <w:sz w:val="24"/>
          <w:szCs w:val="24"/>
        </w:rPr>
        <w:t>de advertência, multa, suspensão temporária de participação em licitação e impedimento de contratar com a COPASA MG, por prazo não superior a 2 (dois) anos</w:t>
      </w:r>
      <w:r w:rsidRPr="00811E92">
        <w:rPr>
          <w:rFonts w:cs="Arial"/>
          <w:sz w:val="24"/>
          <w:szCs w:val="24"/>
        </w:rPr>
        <w:t>, caberá</w:t>
      </w:r>
      <w:r w:rsidRPr="00CF12E4">
        <w:rPr>
          <w:rFonts w:cs="Arial"/>
          <w:sz w:val="24"/>
          <w:szCs w:val="24"/>
        </w:rPr>
        <w:t xml:space="preserve"> recurso, sem efeito suspensivo, ao Diretor-</w:t>
      </w:r>
      <w:r w:rsidRPr="0015126B">
        <w:rPr>
          <w:rFonts w:cs="Arial"/>
          <w:sz w:val="24"/>
          <w:szCs w:val="24"/>
        </w:rPr>
        <w:t xml:space="preserve">Presidente, no prazo de 10 (dez) dias úteis, </w:t>
      </w:r>
      <w:r w:rsidR="0015126B" w:rsidRPr="0015126B">
        <w:rPr>
          <w:rFonts w:cs="Arial"/>
          <w:sz w:val="24"/>
          <w:szCs w:val="24"/>
        </w:rPr>
        <w:t>contados da publicação da decisão da penalidade.</w:t>
      </w:r>
    </w:p>
    <w:p w14:paraId="04765676" w14:textId="43E88945" w:rsidR="00C56B60" w:rsidRPr="00CF12E4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F12E4">
        <w:rPr>
          <w:rFonts w:cs="Arial"/>
          <w:sz w:val="24"/>
          <w:szCs w:val="24"/>
        </w:rPr>
        <w:t xml:space="preserve">O recurso, devidamente fundamentado, deverá ser dirigido ao Diretor </w:t>
      </w:r>
      <w:r w:rsidR="007568A4" w:rsidRPr="00CF12E4">
        <w:rPr>
          <w:rFonts w:cs="Arial"/>
          <w:sz w:val="24"/>
          <w:szCs w:val="24"/>
        </w:rPr>
        <w:t xml:space="preserve">que </w:t>
      </w:r>
      <w:r w:rsidRPr="00CF12E4">
        <w:rPr>
          <w:rFonts w:cs="Arial"/>
          <w:sz w:val="24"/>
          <w:szCs w:val="24"/>
        </w:rPr>
        <w:t>proferiu a decisão, que, por sua vez, poderá:</w:t>
      </w:r>
    </w:p>
    <w:p w14:paraId="4ADF9015" w14:textId="42F27B66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rever a decisão;</w:t>
      </w:r>
    </w:p>
    <w:p w14:paraId="7DA75DB3" w14:textId="472B560F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conceder, excepcionalmente, o efeito suspensivo ao recurso;</w:t>
      </w:r>
    </w:p>
    <w:p w14:paraId="18C2A7B2" w14:textId="344A4089" w:rsidR="00C56B60" w:rsidRPr="00C56B60" w:rsidRDefault="00C56B60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encaminhar o recurso ao Diretor-Presidente para análise e decisão.</w:t>
      </w:r>
    </w:p>
    <w:p w14:paraId="6DD8A877" w14:textId="5AC73B19" w:rsidR="0001745D" w:rsidRDefault="00C56B60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C56B60">
        <w:rPr>
          <w:rFonts w:cs="Arial"/>
          <w:sz w:val="24"/>
          <w:szCs w:val="24"/>
        </w:rPr>
        <w:t>Na hipótese de recurso recebi</w:t>
      </w:r>
      <w:r w:rsidRPr="0044479A">
        <w:rPr>
          <w:rFonts w:cs="Arial"/>
          <w:sz w:val="24"/>
          <w:szCs w:val="24"/>
        </w:rPr>
        <w:t xml:space="preserve">do sem efeito suspensivo contra decisão que aplica a penalidade de suspensão, </w:t>
      </w:r>
      <w:r w:rsidR="00522730" w:rsidRPr="0044479A">
        <w:rPr>
          <w:rFonts w:cs="Arial"/>
          <w:sz w:val="24"/>
          <w:szCs w:val="24"/>
        </w:rPr>
        <w:t>esta será registrada no cadastro do fornecedor penalizado por meio de uma interface no sistema do PAP Eletrônico, acionada pela Comissão processantes.</w:t>
      </w:r>
      <w:r w:rsidR="00522730">
        <w:rPr>
          <w:rFonts w:cs="Arial"/>
          <w:sz w:val="24"/>
          <w:szCs w:val="24"/>
        </w:rPr>
        <w:t xml:space="preserve"> </w:t>
      </w:r>
    </w:p>
    <w:p w14:paraId="540D295F" w14:textId="77777777" w:rsidR="0001745D" w:rsidRDefault="0001745D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t>O Diretor-Presidente poderá, antes de decidir, solicitar a manifestação da Diretoria Adjunta Jurídica, por meio de parecer jurídico, quanto à regularidade processual do PAP.</w:t>
      </w:r>
    </w:p>
    <w:p w14:paraId="108FDE26" w14:textId="77777777" w:rsidR="0001745D" w:rsidRDefault="0001745D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t>A Diretoria Adjunta Jurídica elaborar</w:t>
      </w:r>
      <w:r>
        <w:rPr>
          <w:rFonts w:cs="Arial"/>
          <w:sz w:val="24"/>
          <w:szCs w:val="24"/>
        </w:rPr>
        <w:t>á</w:t>
      </w:r>
      <w:r w:rsidRPr="0001745D">
        <w:rPr>
          <w:rFonts w:cs="Arial"/>
          <w:sz w:val="24"/>
          <w:szCs w:val="24"/>
        </w:rPr>
        <w:t xml:space="preserve"> Comunicação Externa contendo a decisão final do PAP, que será remetida ao licitante ou contratado, bem como o Ato do Diretor-Presidente necessário à publicação. </w:t>
      </w:r>
    </w:p>
    <w:p w14:paraId="68E215CF" w14:textId="61B48A70" w:rsidR="0001745D" w:rsidRPr="0001745D" w:rsidRDefault="0001745D" w:rsidP="005E0ED2">
      <w:pPr>
        <w:pStyle w:val="RegCOPASA"/>
        <w:numPr>
          <w:ilvl w:val="1"/>
          <w:numId w:val="3"/>
        </w:numPr>
        <w:spacing w:line="340" w:lineRule="exact"/>
        <w:ind w:left="993" w:hanging="567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t>Encerrado o PAP, a Comissão Processante providenciará o envio dos autos à Unidade de Serviço de Gestão do Fornecimento para, conforme o caso:</w:t>
      </w:r>
    </w:p>
    <w:p w14:paraId="0D992DD4" w14:textId="77777777" w:rsidR="0001745D" w:rsidRDefault="0001745D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t>efetuar o registro da penalidade de suspensão no Cadastro de Fornecedores da COPASA MG;</w:t>
      </w:r>
    </w:p>
    <w:p w14:paraId="7EADEF5A" w14:textId="77777777" w:rsidR="0001745D" w:rsidRDefault="0001745D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lastRenderedPageBreak/>
        <w:t>encaminhar cópia dos autos do PAP para a Controladoria Geral do Estado de Minas Gerais, na hipótese de contrato ou procedimento regido pela Lei Federal nº 8.666/1993;</w:t>
      </w:r>
    </w:p>
    <w:p w14:paraId="291D10E0" w14:textId="77777777" w:rsidR="0001745D" w:rsidRDefault="0001745D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01745D">
        <w:rPr>
          <w:rFonts w:cs="Arial"/>
          <w:sz w:val="24"/>
          <w:szCs w:val="24"/>
        </w:rPr>
        <w:t>informar ao Cadastro de Empresas Inidôneas e Suspensas – CEIS, bem como a outros sistemas e cadastros pertinentes, nos termos do art. 37 da Lei Federal nº 13.303/2016;</w:t>
      </w:r>
    </w:p>
    <w:p w14:paraId="2172C624" w14:textId="0AEF7C65" w:rsidR="00FE20B8" w:rsidRPr="00FE20B8" w:rsidRDefault="00FE20B8" w:rsidP="005E0ED2">
      <w:pPr>
        <w:pStyle w:val="RegCOPASA"/>
        <w:numPr>
          <w:ilvl w:val="2"/>
          <w:numId w:val="3"/>
        </w:numPr>
        <w:spacing w:line="340" w:lineRule="exact"/>
        <w:ind w:left="1843" w:hanging="850"/>
        <w:rPr>
          <w:rFonts w:cs="Arial"/>
          <w:sz w:val="24"/>
          <w:szCs w:val="24"/>
        </w:rPr>
      </w:pPr>
      <w:r w:rsidRPr="00FE20B8">
        <w:rPr>
          <w:rFonts w:cs="Arial"/>
          <w:bCs/>
          <w:sz w:val="24"/>
          <w:szCs w:val="24"/>
          <w:lang w:val="pt-PT"/>
        </w:rPr>
        <w:t>a Comissão Processante, por meio do sistema do PAP Eletrônico, irá realizar o disparo de comunicação via e-mail à unidade gestora do contrato ou do procedimento licitatório para as providências quanto à rescisão contratual e cancelamento no SAP dos</w:t>
      </w:r>
      <w:r>
        <w:rPr>
          <w:rFonts w:cs="Arial"/>
          <w:bCs/>
          <w:sz w:val="24"/>
          <w:szCs w:val="24"/>
          <w:lang w:val="pt-PT"/>
        </w:rPr>
        <w:t xml:space="preserve"> </w:t>
      </w:r>
      <w:r w:rsidRPr="0001745D">
        <w:rPr>
          <w:rFonts w:cs="Arial"/>
          <w:sz w:val="24"/>
          <w:szCs w:val="24"/>
        </w:rPr>
        <w:t>pedidos pendentes ou quanto à exclusão da licitante do procedimento licitatório.</w:t>
      </w:r>
      <w:r>
        <w:rPr>
          <w:rFonts w:cs="Arial"/>
          <w:sz w:val="24"/>
          <w:szCs w:val="24"/>
        </w:rPr>
        <w:t xml:space="preserve"> </w:t>
      </w:r>
    </w:p>
    <w:p w14:paraId="6133EF92" w14:textId="730DACC9" w:rsidR="00FE20B8" w:rsidRDefault="00FE20B8" w:rsidP="00E1113D">
      <w:pPr>
        <w:pStyle w:val="RegCOPASA"/>
        <w:spacing w:line="340" w:lineRule="exact"/>
        <w:jc w:val="center"/>
        <w:rPr>
          <w:rFonts w:cs="Arial"/>
          <w:b/>
          <w:sz w:val="24"/>
          <w:szCs w:val="24"/>
        </w:rPr>
      </w:pPr>
    </w:p>
    <w:p w14:paraId="6EAA9094" w14:textId="77777777" w:rsidR="002118B6" w:rsidRDefault="002118B6" w:rsidP="00E1113D">
      <w:pPr>
        <w:pStyle w:val="RegCOPASA"/>
        <w:spacing w:line="340" w:lineRule="exact"/>
        <w:jc w:val="center"/>
        <w:rPr>
          <w:rFonts w:cs="Arial"/>
          <w:b/>
          <w:sz w:val="24"/>
          <w:szCs w:val="24"/>
        </w:rPr>
      </w:pPr>
    </w:p>
    <w:p w14:paraId="63223D5E" w14:textId="7351E8EB" w:rsidR="00FF4939" w:rsidRDefault="00E1113D" w:rsidP="00E1113D">
      <w:pPr>
        <w:pStyle w:val="RegCOPASA"/>
        <w:spacing w:line="340" w:lineRule="exac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COMPANHIA DE SANEAMENTO DE MINAS GERAIS</w:t>
      </w:r>
    </w:p>
    <w:sectPr w:rsidR="00FF4939" w:rsidSect="000932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27D"/>
    <w:multiLevelType w:val="hybridMultilevel"/>
    <w:tmpl w:val="A9221A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5E4"/>
    <w:multiLevelType w:val="multilevel"/>
    <w:tmpl w:val="BD22383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cs="Times New Roman" w:hint="default"/>
      </w:rPr>
    </w:lvl>
  </w:abstractNum>
  <w:abstractNum w:abstractNumId="2" w15:restartNumberingAfterBreak="0">
    <w:nsid w:val="50603E36"/>
    <w:multiLevelType w:val="multilevel"/>
    <w:tmpl w:val="8B76A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1573178"/>
    <w:multiLevelType w:val="multilevel"/>
    <w:tmpl w:val="CDB05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60"/>
    <w:rsid w:val="0001745D"/>
    <w:rsid w:val="000932AD"/>
    <w:rsid w:val="000A7B3C"/>
    <w:rsid w:val="0015126B"/>
    <w:rsid w:val="001543FA"/>
    <w:rsid w:val="00176026"/>
    <w:rsid w:val="002114E3"/>
    <w:rsid w:val="002118B6"/>
    <w:rsid w:val="002135F1"/>
    <w:rsid w:val="002175FF"/>
    <w:rsid w:val="002D6DD5"/>
    <w:rsid w:val="00314ECB"/>
    <w:rsid w:val="0036046D"/>
    <w:rsid w:val="00372EC9"/>
    <w:rsid w:val="00382B5C"/>
    <w:rsid w:val="00383D1D"/>
    <w:rsid w:val="00393D42"/>
    <w:rsid w:val="003A5836"/>
    <w:rsid w:val="003B0AC0"/>
    <w:rsid w:val="003C09D7"/>
    <w:rsid w:val="0044479A"/>
    <w:rsid w:val="004A1752"/>
    <w:rsid w:val="004F125E"/>
    <w:rsid w:val="00504994"/>
    <w:rsid w:val="00522730"/>
    <w:rsid w:val="00584527"/>
    <w:rsid w:val="005E0ED2"/>
    <w:rsid w:val="005E59F6"/>
    <w:rsid w:val="006402FE"/>
    <w:rsid w:val="00653024"/>
    <w:rsid w:val="0067563D"/>
    <w:rsid w:val="006815DE"/>
    <w:rsid w:val="007564B0"/>
    <w:rsid w:val="007568A4"/>
    <w:rsid w:val="007A4E1C"/>
    <w:rsid w:val="00811202"/>
    <w:rsid w:val="00811E92"/>
    <w:rsid w:val="008C3E58"/>
    <w:rsid w:val="009A6A68"/>
    <w:rsid w:val="00A04F61"/>
    <w:rsid w:val="00A50974"/>
    <w:rsid w:val="00A67014"/>
    <w:rsid w:val="00A931D8"/>
    <w:rsid w:val="00AF498B"/>
    <w:rsid w:val="00B075ED"/>
    <w:rsid w:val="00B46B6C"/>
    <w:rsid w:val="00B53E0B"/>
    <w:rsid w:val="00B77684"/>
    <w:rsid w:val="00BB5FFF"/>
    <w:rsid w:val="00C156DF"/>
    <w:rsid w:val="00C35264"/>
    <w:rsid w:val="00C56B60"/>
    <w:rsid w:val="00C947FE"/>
    <w:rsid w:val="00CC4E5D"/>
    <w:rsid w:val="00CF12E4"/>
    <w:rsid w:val="00DE511E"/>
    <w:rsid w:val="00E1113D"/>
    <w:rsid w:val="00E25F00"/>
    <w:rsid w:val="00E263DA"/>
    <w:rsid w:val="00E35CFF"/>
    <w:rsid w:val="00EA69D3"/>
    <w:rsid w:val="00EE1736"/>
    <w:rsid w:val="00EF081E"/>
    <w:rsid w:val="00F10184"/>
    <w:rsid w:val="00F12A9D"/>
    <w:rsid w:val="00F17E34"/>
    <w:rsid w:val="00F401F9"/>
    <w:rsid w:val="00F45644"/>
    <w:rsid w:val="00F576F3"/>
    <w:rsid w:val="00F73D6E"/>
    <w:rsid w:val="00FA52FA"/>
    <w:rsid w:val="00FB25F4"/>
    <w:rsid w:val="00FC27A5"/>
    <w:rsid w:val="00FC611F"/>
    <w:rsid w:val="00FE20B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486"/>
  <w15:chartTrackingRefBased/>
  <w15:docId w15:val="{B74E369E-4083-4043-9443-3A09D422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E5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gCOPASAChar">
    <w:name w:val="RegCOPASA Char"/>
    <w:link w:val="RegCOPASA"/>
    <w:locked/>
    <w:rsid w:val="00C56B60"/>
    <w:rPr>
      <w:rFonts w:ascii="Arial" w:hAnsi="Arial"/>
    </w:rPr>
  </w:style>
  <w:style w:type="paragraph" w:customStyle="1" w:styleId="RegCOPASA">
    <w:name w:val="RegCOPASA"/>
    <w:basedOn w:val="Normal"/>
    <w:link w:val="RegCOPASAChar"/>
    <w:qFormat/>
    <w:rsid w:val="00C56B60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E58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F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emlista1">
    <w:name w:val="Sem lista1"/>
    <w:next w:val="Semlista"/>
    <w:uiPriority w:val="99"/>
    <w:semiHidden/>
    <w:unhideWhenUsed/>
    <w:rsid w:val="00FF4939"/>
  </w:style>
  <w:style w:type="table" w:styleId="Tabelacomgrade">
    <w:name w:val="Table Grid"/>
    <w:basedOn w:val="Tabelanormal"/>
    <w:uiPriority w:val="59"/>
    <w:rsid w:val="00FF49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2462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AUGUSTO DE ALMEIDA</dc:creator>
  <cp:keywords/>
  <dc:description/>
  <cp:lastModifiedBy>DANIELA AUGUSTO DE ALMEIDA</cp:lastModifiedBy>
  <cp:revision>3</cp:revision>
  <cp:lastPrinted>2024-11-28T13:15:00Z</cp:lastPrinted>
  <dcterms:created xsi:type="dcterms:W3CDTF">2026-02-11T13:01:00Z</dcterms:created>
  <dcterms:modified xsi:type="dcterms:W3CDTF">2026-06-12T12:22:00Z</dcterms:modified>
</cp:coreProperties>
</file>